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068C" w:rsidRPr="009B068C" w:rsidRDefault="009B068C" w:rsidP="009B068C">
      <w:pPr>
        <w:ind w:hanging="240"/>
        <w:jc w:val="both"/>
        <w:rPr>
          <w:rFonts w:asciiTheme="minorHAnsi" w:hAnsiTheme="minorHAnsi" w:cstheme="minorHAnsi"/>
          <w:b/>
          <w:bCs/>
          <w:sz w:val="22"/>
          <w:szCs w:val="22"/>
        </w:rPr>
      </w:pPr>
      <w:r w:rsidRPr="009B068C">
        <w:rPr>
          <w:rFonts w:asciiTheme="minorHAnsi" w:hAnsiTheme="minorHAnsi" w:cstheme="minorHAnsi"/>
          <w:b/>
          <w:bCs/>
          <w:sz w:val="22"/>
          <w:szCs w:val="22"/>
        </w:rPr>
        <w:t>I. BASE DE PREPARACIÓN DE LOS ESTADOS CONTABLES:</w:t>
      </w:r>
    </w:p>
    <w:p w:rsidR="009B068C" w:rsidRPr="009B068C" w:rsidRDefault="009B068C" w:rsidP="009B068C">
      <w:pPr>
        <w:jc w:val="both"/>
        <w:rPr>
          <w:rFonts w:asciiTheme="minorHAnsi" w:hAnsiTheme="minorHAnsi" w:cstheme="minorHAnsi"/>
          <w:sz w:val="22"/>
          <w:szCs w:val="22"/>
        </w:rPr>
      </w:pPr>
    </w:p>
    <w:p w:rsidR="009B068C" w:rsidRPr="009B068C" w:rsidRDefault="009B068C" w:rsidP="009B068C">
      <w:pPr>
        <w:jc w:val="both"/>
        <w:rPr>
          <w:rFonts w:asciiTheme="minorHAnsi" w:hAnsiTheme="minorHAnsi" w:cstheme="minorHAnsi"/>
          <w:b/>
          <w:bCs/>
          <w:sz w:val="22"/>
          <w:szCs w:val="22"/>
        </w:rPr>
      </w:pPr>
      <w:r w:rsidRPr="009B068C">
        <w:rPr>
          <w:rFonts w:asciiTheme="minorHAnsi" w:hAnsiTheme="minorHAnsi" w:cstheme="minorHAnsi"/>
          <w:sz w:val="22"/>
          <w:szCs w:val="22"/>
        </w:rPr>
        <w:t xml:space="preserve">Han sido preparados de acuerdo con las Normas Contables vigentes </w:t>
      </w:r>
      <w:r w:rsidR="00D73484">
        <w:rPr>
          <w:rFonts w:asciiTheme="minorHAnsi" w:hAnsiTheme="minorHAnsi" w:cstheme="minorHAnsi"/>
          <w:sz w:val="22"/>
          <w:szCs w:val="22"/>
        </w:rPr>
        <w:t xml:space="preserve">en </w:t>
      </w:r>
      <w:r w:rsidRPr="009B068C">
        <w:rPr>
          <w:rFonts w:asciiTheme="minorHAnsi" w:hAnsiTheme="minorHAnsi" w:cstheme="minorHAnsi"/>
          <w:sz w:val="22"/>
          <w:szCs w:val="22"/>
        </w:rPr>
        <w:t xml:space="preserve">el C.P.C.E. de </w:t>
      </w:r>
      <w:proofErr w:type="spellStart"/>
      <w:r w:rsidRPr="009B068C">
        <w:rPr>
          <w:rFonts w:asciiTheme="minorHAnsi" w:hAnsiTheme="minorHAnsi" w:cstheme="minorHAnsi"/>
          <w:sz w:val="22"/>
          <w:szCs w:val="22"/>
        </w:rPr>
        <w:t>Mza</w:t>
      </w:r>
      <w:proofErr w:type="spellEnd"/>
      <w:r w:rsidRPr="009B068C">
        <w:rPr>
          <w:rFonts w:asciiTheme="minorHAnsi" w:hAnsiTheme="minorHAnsi" w:cstheme="minorHAnsi"/>
          <w:sz w:val="22"/>
          <w:szCs w:val="22"/>
        </w:rPr>
        <w:t>.</w:t>
      </w:r>
    </w:p>
    <w:p w:rsidR="009B068C" w:rsidRPr="009B068C" w:rsidRDefault="009B068C" w:rsidP="009B068C">
      <w:pPr>
        <w:jc w:val="both"/>
        <w:rPr>
          <w:rFonts w:asciiTheme="minorHAnsi" w:hAnsiTheme="minorHAnsi" w:cstheme="minorHAnsi"/>
          <w:b/>
          <w:bCs/>
          <w:sz w:val="22"/>
          <w:szCs w:val="22"/>
        </w:rPr>
      </w:pPr>
    </w:p>
    <w:p w:rsidR="009B068C" w:rsidRPr="009B068C" w:rsidRDefault="009B068C" w:rsidP="009B068C">
      <w:pPr>
        <w:jc w:val="both"/>
        <w:rPr>
          <w:rFonts w:asciiTheme="minorHAnsi" w:hAnsiTheme="minorHAnsi" w:cstheme="minorHAnsi"/>
          <w:b/>
          <w:bCs/>
          <w:sz w:val="22"/>
          <w:szCs w:val="22"/>
        </w:rPr>
      </w:pPr>
      <w:r w:rsidRPr="009B068C">
        <w:rPr>
          <w:rFonts w:asciiTheme="minorHAnsi" w:hAnsiTheme="minorHAnsi" w:cstheme="minorHAnsi"/>
          <w:b/>
          <w:bCs/>
          <w:sz w:val="22"/>
          <w:szCs w:val="22"/>
        </w:rPr>
        <w:t>I.1. UNIDAD DE MEDIDA:</w:t>
      </w:r>
    </w:p>
    <w:p w:rsidR="009B068C" w:rsidRPr="009B068C" w:rsidRDefault="009B068C" w:rsidP="009B068C">
      <w:pPr>
        <w:rPr>
          <w:rFonts w:asciiTheme="minorHAnsi" w:hAnsiTheme="minorHAnsi" w:cstheme="minorHAnsi"/>
          <w:color w:val="000000" w:themeColor="text1"/>
          <w:sz w:val="22"/>
          <w:szCs w:val="22"/>
        </w:rPr>
      </w:pPr>
      <w:r w:rsidRPr="009B068C">
        <w:rPr>
          <w:rFonts w:asciiTheme="minorHAnsi" w:hAnsiTheme="minorHAnsi" w:cstheme="minorHAnsi"/>
          <w:bCs/>
          <w:color w:val="000000" w:themeColor="text1"/>
          <w:sz w:val="22"/>
          <w:szCs w:val="22"/>
        </w:rPr>
        <w:t>Los estados contables han sido preparados en moneda homogénea conforme lo establecido en las normas contables profesionales vigentes en la jurisdicción de la Provincia de Mendoza.</w:t>
      </w:r>
    </w:p>
    <w:p w:rsidR="009B068C" w:rsidRDefault="009B068C" w:rsidP="009B068C">
      <w:pPr>
        <w:jc w:val="both"/>
        <w:rPr>
          <w:rFonts w:asciiTheme="minorHAnsi" w:hAnsiTheme="minorHAnsi" w:cstheme="minorHAnsi"/>
          <w:sz w:val="22"/>
          <w:szCs w:val="22"/>
        </w:rPr>
      </w:pPr>
      <w:r w:rsidRPr="009B068C">
        <w:rPr>
          <w:rFonts w:asciiTheme="minorHAnsi" w:hAnsiTheme="minorHAnsi" w:cstheme="minorHAnsi"/>
          <w:color w:val="000000" w:themeColor="text1"/>
          <w:sz w:val="22"/>
          <w:szCs w:val="22"/>
        </w:rPr>
        <w:t xml:space="preserve">Para los presentes estados contables, mediante Res. Nº 539/18 de la F.A.C.P.C.E, adoptada por la Res. 2063/18 del CPCE Mendoza, se ha definido el contexto de alta inflación para ejercicios cerrados a partir del 01/07/2.018, por lo cual se ha reiniciado la aplicación del ajuste por inflación resultante de la R.T. Nº 6, de la sección 3.1 de la R.T. Nº 17 (modificada por la R.T Nº 39) y de la sección 2.6 de la R.T. Nº 41. </w:t>
      </w:r>
      <w:r w:rsidRPr="009B068C">
        <w:rPr>
          <w:rFonts w:asciiTheme="minorHAnsi" w:hAnsiTheme="minorHAnsi" w:cstheme="minorHAnsi"/>
          <w:sz w:val="22"/>
          <w:szCs w:val="22"/>
        </w:rPr>
        <w:t>Los presentes Estados Contables están expresados en moneda homogénea a la fecha de cierre del ejercicio considerado.</w:t>
      </w:r>
    </w:p>
    <w:p w:rsidR="00D73484" w:rsidRDefault="00D73484" w:rsidP="009B068C">
      <w:pPr>
        <w:jc w:val="both"/>
        <w:rPr>
          <w:rFonts w:asciiTheme="minorHAnsi" w:hAnsiTheme="minorHAnsi" w:cstheme="minorHAnsi"/>
          <w:sz w:val="22"/>
          <w:szCs w:val="22"/>
        </w:rPr>
      </w:pPr>
    </w:p>
    <w:p w:rsidR="00D73484" w:rsidRDefault="00D73484" w:rsidP="009B068C">
      <w:pPr>
        <w:jc w:val="both"/>
        <w:rPr>
          <w:rFonts w:asciiTheme="minorHAnsi" w:hAnsiTheme="minorHAnsi" w:cstheme="minorHAnsi"/>
          <w:b/>
          <w:sz w:val="22"/>
          <w:szCs w:val="22"/>
        </w:rPr>
      </w:pPr>
      <w:r w:rsidRPr="00D73484">
        <w:rPr>
          <w:rFonts w:asciiTheme="minorHAnsi" w:hAnsiTheme="minorHAnsi" w:cstheme="minorHAnsi"/>
          <w:b/>
          <w:sz w:val="22"/>
          <w:szCs w:val="22"/>
        </w:rPr>
        <w:t>Simplificaciones utilizadas e implicancias</w:t>
      </w:r>
      <w:r w:rsidR="00A31E5F">
        <w:rPr>
          <w:rFonts w:asciiTheme="minorHAnsi" w:hAnsiTheme="minorHAnsi" w:cstheme="minorHAnsi"/>
          <w:b/>
          <w:sz w:val="22"/>
          <w:szCs w:val="22"/>
        </w:rPr>
        <w:t xml:space="preserve"> </w:t>
      </w:r>
      <w:r w:rsidR="00A31E5F" w:rsidRPr="00A31E5F">
        <w:rPr>
          <w:rFonts w:asciiTheme="minorHAnsi" w:hAnsiTheme="minorHAnsi" w:cstheme="minorHAnsi"/>
          <w:b/>
          <w:color w:val="FF0000"/>
          <w:sz w:val="22"/>
          <w:szCs w:val="22"/>
        </w:rPr>
        <w:t>(</w:t>
      </w:r>
      <w:r w:rsidR="00A31E5F">
        <w:rPr>
          <w:rFonts w:asciiTheme="minorHAnsi" w:hAnsiTheme="minorHAnsi" w:cstheme="minorHAnsi"/>
          <w:b/>
          <w:color w:val="FF0000"/>
          <w:sz w:val="22"/>
          <w:szCs w:val="22"/>
        </w:rPr>
        <w:t xml:space="preserve">colocar la que corresponda </w:t>
      </w:r>
      <w:r w:rsidR="00A31E5F" w:rsidRPr="00A31E5F">
        <w:rPr>
          <w:rFonts w:asciiTheme="minorHAnsi" w:hAnsiTheme="minorHAnsi" w:cstheme="minorHAnsi"/>
          <w:b/>
          <w:color w:val="FF0000"/>
          <w:sz w:val="22"/>
          <w:szCs w:val="22"/>
        </w:rPr>
        <w:t xml:space="preserve">en caso de utilizar alguna o todas las </w:t>
      </w:r>
      <w:r w:rsidR="00A31E5F">
        <w:rPr>
          <w:rFonts w:asciiTheme="minorHAnsi" w:hAnsiTheme="minorHAnsi" w:cstheme="minorHAnsi"/>
          <w:b/>
          <w:color w:val="FF0000"/>
          <w:sz w:val="22"/>
          <w:szCs w:val="22"/>
        </w:rPr>
        <w:t xml:space="preserve">simplificaciones </w:t>
      </w:r>
      <w:r w:rsidR="00A31E5F" w:rsidRPr="00A31E5F">
        <w:rPr>
          <w:rFonts w:asciiTheme="minorHAnsi" w:hAnsiTheme="minorHAnsi" w:cstheme="minorHAnsi"/>
          <w:b/>
          <w:color w:val="FF0000"/>
          <w:sz w:val="22"/>
          <w:szCs w:val="22"/>
        </w:rPr>
        <w:t xml:space="preserve">permitidas por la Res. 539/18 y </w:t>
      </w:r>
      <w:proofErr w:type="spellStart"/>
      <w:r w:rsidR="00A31E5F" w:rsidRPr="00A31E5F">
        <w:rPr>
          <w:rFonts w:asciiTheme="minorHAnsi" w:hAnsiTheme="minorHAnsi" w:cstheme="minorHAnsi"/>
          <w:b/>
          <w:color w:val="FF0000"/>
          <w:sz w:val="22"/>
          <w:szCs w:val="22"/>
        </w:rPr>
        <w:t>modif</w:t>
      </w:r>
      <w:proofErr w:type="spellEnd"/>
      <w:r w:rsidR="00A31E5F" w:rsidRPr="00A31E5F">
        <w:rPr>
          <w:rFonts w:asciiTheme="minorHAnsi" w:hAnsiTheme="minorHAnsi" w:cstheme="minorHAnsi"/>
          <w:b/>
          <w:color w:val="FF0000"/>
          <w:sz w:val="22"/>
          <w:szCs w:val="22"/>
        </w:rPr>
        <w:t>.)</w:t>
      </w:r>
    </w:p>
    <w:p w:rsidR="00D73484" w:rsidRPr="00D73484" w:rsidRDefault="00D73484" w:rsidP="009B068C">
      <w:pPr>
        <w:jc w:val="both"/>
        <w:rPr>
          <w:rFonts w:asciiTheme="minorHAnsi" w:hAnsiTheme="minorHAnsi" w:cstheme="minorHAnsi"/>
          <w:b/>
          <w:sz w:val="22"/>
          <w:szCs w:val="22"/>
        </w:rPr>
      </w:pPr>
    </w:p>
    <w:p w:rsidR="009B068C" w:rsidRPr="009B068C" w:rsidRDefault="00A31E5F" w:rsidP="009B068C">
      <w:pPr>
        <w:jc w:val="both"/>
        <w:rPr>
          <w:rFonts w:asciiTheme="minorHAnsi" w:hAnsiTheme="minorHAnsi" w:cstheme="minorHAnsi"/>
          <w:sz w:val="22"/>
          <w:szCs w:val="22"/>
        </w:rPr>
      </w:pPr>
      <w:r>
        <w:rPr>
          <w:rFonts w:asciiTheme="minorHAnsi" w:hAnsiTheme="minorHAnsi" w:cstheme="minorHAnsi"/>
          <w:b/>
          <w:sz w:val="22"/>
          <w:szCs w:val="22"/>
        </w:rPr>
        <w:t>A</w:t>
      </w:r>
      <w:r w:rsidR="00D73484">
        <w:rPr>
          <w:rFonts w:asciiTheme="minorHAnsi" w:hAnsiTheme="minorHAnsi" w:cstheme="minorHAnsi"/>
          <w:sz w:val="22"/>
          <w:szCs w:val="22"/>
        </w:rPr>
        <w:t xml:space="preserve">) </w:t>
      </w:r>
      <w:r w:rsidR="009B068C" w:rsidRPr="009B068C">
        <w:rPr>
          <w:rFonts w:asciiTheme="minorHAnsi" w:hAnsiTheme="minorHAnsi" w:cstheme="minorHAnsi"/>
          <w:sz w:val="22"/>
          <w:szCs w:val="22"/>
        </w:rPr>
        <w:t xml:space="preserve">La </w:t>
      </w:r>
      <w:r w:rsidR="00695996">
        <w:rPr>
          <w:rFonts w:asciiTheme="minorHAnsi" w:hAnsiTheme="minorHAnsi" w:cstheme="minorHAnsi"/>
          <w:sz w:val="22"/>
          <w:szCs w:val="22"/>
        </w:rPr>
        <w:t>entidad</w:t>
      </w:r>
      <w:r w:rsidR="009B068C" w:rsidRPr="009B068C">
        <w:rPr>
          <w:rFonts w:asciiTheme="minorHAnsi" w:hAnsiTheme="minorHAnsi" w:cstheme="minorHAnsi"/>
          <w:sz w:val="22"/>
          <w:szCs w:val="22"/>
        </w:rPr>
        <w:t xml:space="preserve"> ejerció la opción de no determinar el patrimonio neto ajustado al inicio del ejercicio comparativo y, por ello, no ha presentado información comparativa correspondiente al estado de</w:t>
      </w:r>
      <w:r w:rsidR="00D73484">
        <w:rPr>
          <w:rFonts w:asciiTheme="minorHAnsi" w:hAnsiTheme="minorHAnsi" w:cstheme="minorHAnsi"/>
          <w:sz w:val="22"/>
          <w:szCs w:val="22"/>
        </w:rPr>
        <w:t xml:space="preserve"> </w:t>
      </w:r>
      <w:r w:rsidR="00895166">
        <w:rPr>
          <w:rFonts w:asciiTheme="minorHAnsi" w:hAnsiTheme="minorHAnsi" w:cstheme="minorHAnsi"/>
          <w:sz w:val="22"/>
          <w:szCs w:val="22"/>
        </w:rPr>
        <w:t>r</w:t>
      </w:r>
      <w:r w:rsidR="00657446">
        <w:rPr>
          <w:rFonts w:asciiTheme="minorHAnsi" w:hAnsiTheme="minorHAnsi" w:cstheme="minorHAnsi"/>
          <w:sz w:val="22"/>
          <w:szCs w:val="22"/>
        </w:rPr>
        <w:t>ecursos y gastos</w:t>
      </w:r>
      <w:r w:rsidR="00D73484">
        <w:rPr>
          <w:rFonts w:asciiTheme="minorHAnsi" w:hAnsiTheme="minorHAnsi" w:cstheme="minorHAnsi"/>
          <w:sz w:val="22"/>
          <w:szCs w:val="22"/>
        </w:rPr>
        <w:t xml:space="preserve">, estado de evolución del patrimonio neto </w:t>
      </w:r>
      <w:r w:rsidR="009B068C" w:rsidRPr="009B068C">
        <w:rPr>
          <w:rFonts w:asciiTheme="minorHAnsi" w:hAnsiTheme="minorHAnsi" w:cstheme="minorHAnsi"/>
          <w:sz w:val="22"/>
          <w:szCs w:val="22"/>
        </w:rPr>
        <w:t xml:space="preserve">y estado de flujo de efectivo. </w:t>
      </w:r>
    </w:p>
    <w:p w:rsidR="009B068C" w:rsidRDefault="009B068C" w:rsidP="009B068C">
      <w:pPr>
        <w:jc w:val="both"/>
        <w:rPr>
          <w:rFonts w:asciiTheme="minorHAnsi" w:hAnsiTheme="minorHAnsi" w:cstheme="minorHAnsi"/>
          <w:sz w:val="22"/>
          <w:szCs w:val="22"/>
        </w:rPr>
      </w:pPr>
      <w:r w:rsidRPr="009B068C">
        <w:rPr>
          <w:rFonts w:asciiTheme="minorHAnsi" w:hAnsiTheme="minorHAnsi" w:cstheme="minorHAnsi"/>
          <w:sz w:val="22"/>
          <w:szCs w:val="22"/>
        </w:rPr>
        <w:t xml:space="preserve">La falta de información comparativa limita la información disponible en los estados contables para analizar la evolución de las diferentes magnitudes y las ratios habitualmente utilizados en el análisis de los estados contables. </w:t>
      </w:r>
    </w:p>
    <w:p w:rsidR="009B068C" w:rsidRPr="009B068C" w:rsidRDefault="00A31E5F" w:rsidP="009B068C">
      <w:pPr>
        <w:jc w:val="both"/>
        <w:rPr>
          <w:rFonts w:asciiTheme="minorHAnsi" w:hAnsiTheme="minorHAnsi" w:cstheme="minorHAnsi"/>
          <w:sz w:val="22"/>
          <w:szCs w:val="22"/>
        </w:rPr>
      </w:pPr>
      <w:r>
        <w:rPr>
          <w:rFonts w:asciiTheme="minorHAnsi" w:hAnsiTheme="minorHAnsi" w:cstheme="minorHAnsi"/>
          <w:b/>
          <w:sz w:val="22"/>
          <w:szCs w:val="22"/>
        </w:rPr>
        <w:t>B</w:t>
      </w:r>
      <w:r w:rsidR="00695996">
        <w:rPr>
          <w:rFonts w:asciiTheme="minorHAnsi" w:hAnsiTheme="minorHAnsi" w:cstheme="minorHAnsi"/>
          <w:sz w:val="22"/>
          <w:szCs w:val="22"/>
        </w:rPr>
        <w:t>) La entidad</w:t>
      </w:r>
      <w:r w:rsidR="009B068C" w:rsidRPr="009B068C">
        <w:rPr>
          <w:rFonts w:asciiTheme="minorHAnsi" w:hAnsiTheme="minorHAnsi" w:cstheme="minorHAnsi"/>
          <w:sz w:val="22"/>
          <w:szCs w:val="22"/>
        </w:rPr>
        <w:t xml:space="preserve"> ejerció la opción de la RT 6 y la Res. JG 539-18 de presentar el </w:t>
      </w:r>
      <w:proofErr w:type="spellStart"/>
      <w:r w:rsidR="009B068C" w:rsidRPr="009B068C">
        <w:rPr>
          <w:rFonts w:asciiTheme="minorHAnsi" w:hAnsiTheme="minorHAnsi" w:cstheme="minorHAnsi"/>
          <w:sz w:val="22"/>
          <w:szCs w:val="22"/>
        </w:rPr>
        <w:t>Recpam</w:t>
      </w:r>
      <w:proofErr w:type="spellEnd"/>
      <w:r w:rsidR="009B068C" w:rsidRPr="009B068C">
        <w:rPr>
          <w:rFonts w:asciiTheme="minorHAnsi" w:hAnsiTheme="minorHAnsi" w:cstheme="minorHAnsi"/>
          <w:sz w:val="22"/>
          <w:szCs w:val="22"/>
        </w:rPr>
        <w:t xml:space="preserve"> incluido en los resultados financieros y por tenencia, y en una sola línea. </w:t>
      </w:r>
    </w:p>
    <w:p w:rsidR="009B068C" w:rsidRDefault="009B068C" w:rsidP="009B068C">
      <w:pPr>
        <w:jc w:val="both"/>
        <w:rPr>
          <w:rFonts w:asciiTheme="minorHAnsi" w:hAnsiTheme="minorHAnsi" w:cstheme="minorHAnsi"/>
          <w:sz w:val="22"/>
          <w:szCs w:val="22"/>
        </w:rPr>
      </w:pPr>
      <w:r w:rsidRPr="009B068C">
        <w:rPr>
          <w:rFonts w:asciiTheme="minorHAnsi" w:hAnsiTheme="minorHAnsi" w:cstheme="minorHAnsi"/>
          <w:sz w:val="22"/>
          <w:szCs w:val="22"/>
        </w:rPr>
        <w:t xml:space="preserve">La no apertura de los resultados financieros y por tenencia (incluido el </w:t>
      </w:r>
      <w:proofErr w:type="spellStart"/>
      <w:r w:rsidRPr="009B068C">
        <w:rPr>
          <w:rFonts w:asciiTheme="minorHAnsi" w:hAnsiTheme="minorHAnsi" w:cstheme="minorHAnsi"/>
          <w:sz w:val="22"/>
          <w:szCs w:val="22"/>
        </w:rPr>
        <w:t>Recpam</w:t>
      </w:r>
      <w:proofErr w:type="spellEnd"/>
      <w:r w:rsidRPr="009B068C">
        <w:rPr>
          <w:rFonts w:asciiTheme="minorHAnsi" w:hAnsiTheme="minorHAnsi" w:cstheme="minorHAnsi"/>
          <w:sz w:val="22"/>
          <w:szCs w:val="22"/>
        </w:rPr>
        <w:t xml:space="preserve">) genera la imposibilidad de determinar las magnitudes reales de los diferentes componentes de los resultados financieros y por tenencia, ni tampoco las magnitudes nominales ajustadas por inflación de los mismos y el efecto del </w:t>
      </w:r>
      <w:proofErr w:type="spellStart"/>
      <w:r w:rsidRPr="009B068C">
        <w:rPr>
          <w:rFonts w:asciiTheme="minorHAnsi" w:hAnsiTheme="minorHAnsi" w:cstheme="minorHAnsi"/>
          <w:sz w:val="22"/>
          <w:szCs w:val="22"/>
        </w:rPr>
        <w:t>recpam</w:t>
      </w:r>
      <w:proofErr w:type="spellEnd"/>
      <w:r w:rsidRPr="009B068C">
        <w:rPr>
          <w:rFonts w:asciiTheme="minorHAnsi" w:hAnsiTheme="minorHAnsi" w:cstheme="minorHAnsi"/>
          <w:sz w:val="22"/>
          <w:szCs w:val="22"/>
        </w:rPr>
        <w:t xml:space="preserve"> sobre dichos resultados. Esta limitación también impide la determinación de ciertas ratios financieros, tales como el rendimiento de los activos financieros, el costo de endeudamiento, el efecto “palanca”, etc.</w:t>
      </w:r>
    </w:p>
    <w:p w:rsidR="004A210C" w:rsidRPr="009B068C" w:rsidRDefault="00A31E5F" w:rsidP="009B068C">
      <w:pPr>
        <w:jc w:val="both"/>
        <w:rPr>
          <w:rFonts w:asciiTheme="minorHAnsi" w:hAnsiTheme="minorHAnsi" w:cstheme="minorHAnsi"/>
          <w:sz w:val="22"/>
          <w:szCs w:val="22"/>
        </w:rPr>
      </w:pPr>
      <w:r>
        <w:rPr>
          <w:rFonts w:asciiTheme="minorHAnsi" w:hAnsiTheme="minorHAnsi" w:cstheme="minorHAnsi"/>
          <w:b/>
          <w:sz w:val="22"/>
          <w:szCs w:val="22"/>
        </w:rPr>
        <w:t>C</w:t>
      </w:r>
      <w:r w:rsidR="004A210C">
        <w:rPr>
          <w:rFonts w:asciiTheme="minorHAnsi" w:hAnsiTheme="minorHAnsi" w:cstheme="minorHAnsi"/>
          <w:sz w:val="22"/>
          <w:szCs w:val="22"/>
        </w:rPr>
        <w:t xml:space="preserve">) La </w:t>
      </w:r>
      <w:r w:rsidR="00695996">
        <w:rPr>
          <w:rFonts w:asciiTheme="minorHAnsi" w:hAnsiTheme="minorHAnsi" w:cstheme="minorHAnsi"/>
          <w:sz w:val="22"/>
          <w:szCs w:val="22"/>
        </w:rPr>
        <w:t>entidad</w:t>
      </w:r>
      <w:bookmarkStart w:id="0" w:name="_GoBack"/>
      <w:bookmarkEnd w:id="0"/>
      <w:r w:rsidR="004A210C">
        <w:rPr>
          <w:rFonts w:asciiTheme="minorHAnsi" w:hAnsiTheme="minorHAnsi" w:cstheme="minorHAnsi"/>
          <w:sz w:val="22"/>
          <w:szCs w:val="22"/>
        </w:rPr>
        <w:t xml:space="preserve"> ejerció la opción de confeccionar el Estado de Flujo de Efectivo por método directo, presentando la información ajustada por inflación en forma sintética, con renglones mínimos que incluyen Saldo al inicio, Saldo al cierre, Variación en el ejercicio y explicación de las causas a nivel de totales (operativas, financiación e inversión). La falta de información desagregada en dicho estado limita la lectura detallada </w:t>
      </w:r>
      <w:r>
        <w:rPr>
          <w:rFonts w:asciiTheme="minorHAnsi" w:hAnsiTheme="minorHAnsi" w:cstheme="minorHAnsi"/>
          <w:sz w:val="22"/>
          <w:szCs w:val="22"/>
        </w:rPr>
        <w:t xml:space="preserve">y análisis </w:t>
      </w:r>
      <w:r w:rsidR="004A210C">
        <w:rPr>
          <w:rFonts w:asciiTheme="minorHAnsi" w:hAnsiTheme="minorHAnsi" w:cstheme="minorHAnsi"/>
          <w:sz w:val="22"/>
          <w:szCs w:val="22"/>
        </w:rPr>
        <w:t xml:space="preserve">de las causas que </w:t>
      </w:r>
      <w:r>
        <w:rPr>
          <w:rFonts w:asciiTheme="minorHAnsi" w:hAnsiTheme="minorHAnsi" w:cstheme="minorHAnsi"/>
          <w:sz w:val="22"/>
          <w:szCs w:val="22"/>
        </w:rPr>
        <w:t>generaron</w:t>
      </w:r>
      <w:r w:rsidR="004A210C">
        <w:rPr>
          <w:rFonts w:asciiTheme="minorHAnsi" w:hAnsiTheme="minorHAnsi" w:cstheme="minorHAnsi"/>
          <w:sz w:val="22"/>
          <w:szCs w:val="22"/>
        </w:rPr>
        <w:t xml:space="preserve"> los ingresos y erogaciones</w:t>
      </w:r>
      <w:r>
        <w:rPr>
          <w:rFonts w:asciiTheme="minorHAnsi" w:hAnsiTheme="minorHAnsi" w:cstheme="minorHAnsi"/>
          <w:sz w:val="22"/>
          <w:szCs w:val="22"/>
        </w:rPr>
        <w:t xml:space="preserve"> de efectivo y sus equivalentes</w:t>
      </w:r>
      <w:r w:rsidR="00345F14">
        <w:rPr>
          <w:rFonts w:asciiTheme="minorHAnsi" w:hAnsiTheme="minorHAnsi" w:cstheme="minorHAnsi"/>
          <w:sz w:val="22"/>
          <w:szCs w:val="22"/>
        </w:rPr>
        <w:t xml:space="preserve"> en la entidad</w:t>
      </w:r>
      <w:r>
        <w:rPr>
          <w:rFonts w:asciiTheme="minorHAnsi" w:hAnsiTheme="minorHAnsi" w:cstheme="minorHAnsi"/>
          <w:sz w:val="22"/>
          <w:szCs w:val="22"/>
        </w:rPr>
        <w:t>.</w:t>
      </w:r>
      <w:r w:rsidR="004A210C">
        <w:rPr>
          <w:rFonts w:asciiTheme="minorHAnsi" w:hAnsiTheme="minorHAnsi" w:cstheme="minorHAnsi"/>
          <w:sz w:val="22"/>
          <w:szCs w:val="22"/>
        </w:rPr>
        <w:t xml:space="preserve"> </w:t>
      </w:r>
    </w:p>
    <w:p w:rsidR="009B068C" w:rsidRPr="009B068C" w:rsidRDefault="009B068C" w:rsidP="009B068C">
      <w:pPr>
        <w:pStyle w:val="Ttulo2"/>
        <w:rPr>
          <w:rFonts w:asciiTheme="minorHAnsi" w:hAnsiTheme="minorHAnsi" w:cstheme="minorHAnsi"/>
          <w:sz w:val="22"/>
          <w:szCs w:val="22"/>
        </w:rPr>
      </w:pPr>
    </w:p>
    <w:p w:rsidR="009B068C" w:rsidRPr="009B068C" w:rsidRDefault="009B068C" w:rsidP="009B068C">
      <w:pPr>
        <w:jc w:val="both"/>
        <w:rPr>
          <w:rFonts w:asciiTheme="minorHAnsi" w:hAnsiTheme="minorHAnsi" w:cstheme="minorHAnsi"/>
          <w:sz w:val="22"/>
          <w:szCs w:val="22"/>
        </w:rPr>
      </w:pPr>
      <w:r w:rsidRPr="009B068C">
        <w:rPr>
          <w:rFonts w:asciiTheme="minorHAnsi" w:hAnsiTheme="minorHAnsi" w:cstheme="minorHAnsi"/>
          <w:b/>
          <w:bCs/>
          <w:sz w:val="22"/>
          <w:szCs w:val="22"/>
        </w:rPr>
        <w:t>I.</w:t>
      </w:r>
      <w:r w:rsidR="00A31E5F">
        <w:rPr>
          <w:rFonts w:asciiTheme="minorHAnsi" w:hAnsiTheme="minorHAnsi" w:cstheme="minorHAnsi"/>
          <w:b/>
          <w:bCs/>
          <w:sz w:val="22"/>
          <w:szCs w:val="22"/>
        </w:rPr>
        <w:t>2</w:t>
      </w:r>
      <w:r w:rsidRPr="009B068C">
        <w:rPr>
          <w:rFonts w:asciiTheme="minorHAnsi" w:hAnsiTheme="minorHAnsi" w:cstheme="minorHAnsi"/>
          <w:b/>
          <w:bCs/>
          <w:sz w:val="22"/>
          <w:szCs w:val="22"/>
        </w:rPr>
        <w:t>. NORMAS DE EXPOSICION UTILIZADAS:</w:t>
      </w:r>
    </w:p>
    <w:p w:rsidR="009B068C" w:rsidRPr="009B068C" w:rsidRDefault="009B068C" w:rsidP="009B068C">
      <w:pPr>
        <w:jc w:val="both"/>
        <w:rPr>
          <w:rFonts w:asciiTheme="minorHAnsi" w:hAnsiTheme="minorHAnsi" w:cstheme="minorHAnsi"/>
          <w:sz w:val="22"/>
          <w:szCs w:val="22"/>
        </w:rPr>
      </w:pPr>
      <w:r w:rsidRPr="009B068C">
        <w:rPr>
          <w:rFonts w:asciiTheme="minorHAnsi" w:hAnsiTheme="minorHAnsi" w:cstheme="minorHAnsi"/>
          <w:sz w:val="22"/>
          <w:szCs w:val="22"/>
        </w:rPr>
        <w:t xml:space="preserve">Para la presentación de los estados contables se dio cumplimiento a las normas generales y particulares de exposición establecidas en las Resoluciones Técnicas Nº 8 y </w:t>
      </w:r>
      <w:r w:rsidR="00657446">
        <w:rPr>
          <w:rFonts w:asciiTheme="minorHAnsi" w:hAnsiTheme="minorHAnsi" w:cstheme="minorHAnsi"/>
          <w:sz w:val="22"/>
          <w:szCs w:val="22"/>
        </w:rPr>
        <w:t>11</w:t>
      </w:r>
      <w:r w:rsidR="00D958EC">
        <w:rPr>
          <w:rFonts w:asciiTheme="minorHAnsi" w:hAnsiTheme="minorHAnsi" w:cstheme="minorHAnsi"/>
          <w:sz w:val="22"/>
          <w:szCs w:val="22"/>
        </w:rPr>
        <w:t xml:space="preserve"> </w:t>
      </w:r>
      <w:r>
        <w:rPr>
          <w:rFonts w:asciiTheme="minorHAnsi" w:hAnsiTheme="minorHAnsi" w:cstheme="minorHAnsi"/>
          <w:sz w:val="22"/>
          <w:szCs w:val="22"/>
        </w:rPr>
        <w:t>(y sus modificatorias)</w:t>
      </w:r>
      <w:r w:rsidRPr="009B068C">
        <w:rPr>
          <w:rFonts w:asciiTheme="minorHAnsi" w:hAnsiTheme="minorHAnsi" w:cstheme="minorHAnsi"/>
          <w:sz w:val="22"/>
          <w:szCs w:val="22"/>
        </w:rPr>
        <w:t xml:space="preserve"> de la F.A.C.P.C.E., adoptadas por el C.P.C.E. de Mendoz</w:t>
      </w:r>
      <w:r w:rsidR="00657446">
        <w:rPr>
          <w:rFonts w:asciiTheme="minorHAnsi" w:hAnsiTheme="minorHAnsi" w:cstheme="minorHAnsi"/>
          <w:sz w:val="22"/>
          <w:szCs w:val="22"/>
        </w:rPr>
        <w:t xml:space="preserve">a mediante Resoluciones </w:t>
      </w:r>
      <w:r w:rsidR="001E4801">
        <w:rPr>
          <w:rFonts w:asciiTheme="minorHAnsi" w:hAnsiTheme="minorHAnsi" w:cstheme="minorHAnsi"/>
          <w:sz w:val="22"/>
          <w:szCs w:val="22"/>
        </w:rPr>
        <w:t>Nº 875/88</w:t>
      </w:r>
      <w:r w:rsidR="00657446">
        <w:rPr>
          <w:rFonts w:asciiTheme="minorHAnsi" w:hAnsiTheme="minorHAnsi" w:cstheme="minorHAnsi"/>
          <w:sz w:val="22"/>
          <w:szCs w:val="22"/>
        </w:rPr>
        <w:t xml:space="preserve"> y Nº 1.093/94.</w:t>
      </w:r>
    </w:p>
    <w:p w:rsidR="009B068C" w:rsidRPr="009B068C" w:rsidRDefault="009B068C" w:rsidP="009B068C">
      <w:pPr>
        <w:jc w:val="both"/>
        <w:rPr>
          <w:rFonts w:asciiTheme="minorHAnsi" w:hAnsiTheme="minorHAnsi" w:cstheme="minorHAnsi"/>
          <w:sz w:val="22"/>
          <w:szCs w:val="22"/>
        </w:rPr>
      </w:pPr>
    </w:p>
    <w:p w:rsidR="009B068C" w:rsidRPr="009B068C" w:rsidRDefault="009B068C" w:rsidP="009B068C">
      <w:pPr>
        <w:jc w:val="both"/>
        <w:rPr>
          <w:rFonts w:asciiTheme="minorHAnsi" w:hAnsiTheme="minorHAnsi" w:cstheme="minorHAnsi"/>
          <w:sz w:val="22"/>
          <w:szCs w:val="22"/>
        </w:rPr>
      </w:pPr>
      <w:r w:rsidRPr="009B068C">
        <w:rPr>
          <w:rFonts w:asciiTheme="minorHAnsi" w:hAnsiTheme="minorHAnsi" w:cstheme="minorHAnsi"/>
          <w:b/>
          <w:bCs/>
          <w:sz w:val="22"/>
          <w:szCs w:val="22"/>
        </w:rPr>
        <w:t>I.</w:t>
      </w:r>
      <w:r w:rsidR="00A31E5F">
        <w:rPr>
          <w:rFonts w:asciiTheme="minorHAnsi" w:hAnsiTheme="minorHAnsi" w:cstheme="minorHAnsi"/>
          <w:b/>
          <w:bCs/>
          <w:sz w:val="22"/>
          <w:szCs w:val="22"/>
        </w:rPr>
        <w:t>3</w:t>
      </w:r>
      <w:r w:rsidRPr="009B068C">
        <w:rPr>
          <w:rFonts w:asciiTheme="minorHAnsi" w:hAnsiTheme="minorHAnsi" w:cstheme="minorHAnsi"/>
          <w:b/>
          <w:bCs/>
          <w:sz w:val="22"/>
          <w:szCs w:val="22"/>
        </w:rPr>
        <w:t>. NORMAS DE MEDICIÓN UTILIZADAS:</w:t>
      </w:r>
    </w:p>
    <w:p w:rsidR="009B068C" w:rsidRDefault="009B068C" w:rsidP="009B068C">
      <w:pPr>
        <w:jc w:val="both"/>
        <w:rPr>
          <w:rFonts w:asciiTheme="minorHAnsi" w:hAnsiTheme="minorHAnsi" w:cstheme="minorHAnsi"/>
          <w:iCs/>
          <w:sz w:val="22"/>
          <w:szCs w:val="22"/>
        </w:rPr>
      </w:pPr>
      <w:r w:rsidRPr="009B068C">
        <w:rPr>
          <w:rFonts w:asciiTheme="minorHAnsi" w:hAnsiTheme="minorHAnsi" w:cstheme="minorHAnsi"/>
          <w:iCs/>
          <w:sz w:val="22"/>
          <w:szCs w:val="22"/>
        </w:rPr>
        <w:t>Para la medición se dio cumplimiento a las normas contenidas en la Resolución Técnica Nº 41</w:t>
      </w:r>
      <w:r w:rsidR="008F010A">
        <w:rPr>
          <w:rFonts w:asciiTheme="minorHAnsi" w:hAnsiTheme="minorHAnsi" w:cstheme="minorHAnsi"/>
          <w:iCs/>
          <w:sz w:val="22"/>
          <w:szCs w:val="22"/>
        </w:rPr>
        <w:t xml:space="preserve"> </w:t>
      </w:r>
      <w:r w:rsidRPr="009B068C">
        <w:rPr>
          <w:rFonts w:asciiTheme="minorHAnsi" w:hAnsiTheme="minorHAnsi" w:cstheme="minorHAnsi"/>
          <w:iCs/>
          <w:sz w:val="22"/>
          <w:szCs w:val="22"/>
        </w:rPr>
        <w:t>de la F.A.C.P.C.E., adoptada por el C.P.C.E. de Mendoza mediante Resolución Nº 1929/15.</w:t>
      </w:r>
    </w:p>
    <w:p w:rsidR="00A31E5F" w:rsidRDefault="00A31E5F" w:rsidP="009B068C">
      <w:pPr>
        <w:jc w:val="both"/>
        <w:rPr>
          <w:rFonts w:asciiTheme="minorHAnsi" w:hAnsiTheme="minorHAnsi" w:cstheme="minorHAnsi"/>
          <w:iCs/>
          <w:sz w:val="22"/>
          <w:szCs w:val="22"/>
        </w:rPr>
      </w:pPr>
    </w:p>
    <w:p w:rsidR="00A31E5F" w:rsidRPr="009B068C" w:rsidRDefault="00A31E5F" w:rsidP="00A31E5F">
      <w:pPr>
        <w:jc w:val="both"/>
        <w:rPr>
          <w:rFonts w:asciiTheme="minorHAnsi" w:hAnsiTheme="minorHAnsi" w:cstheme="minorHAnsi"/>
          <w:b/>
          <w:bCs/>
          <w:sz w:val="22"/>
          <w:szCs w:val="22"/>
        </w:rPr>
      </w:pPr>
      <w:r w:rsidRPr="009B068C">
        <w:rPr>
          <w:rFonts w:asciiTheme="minorHAnsi" w:hAnsiTheme="minorHAnsi" w:cstheme="minorHAnsi"/>
          <w:b/>
          <w:bCs/>
          <w:sz w:val="22"/>
          <w:szCs w:val="22"/>
        </w:rPr>
        <w:t>I.</w:t>
      </w:r>
      <w:r>
        <w:rPr>
          <w:rFonts w:asciiTheme="minorHAnsi" w:hAnsiTheme="minorHAnsi" w:cstheme="minorHAnsi"/>
          <w:b/>
          <w:bCs/>
          <w:sz w:val="22"/>
          <w:szCs w:val="22"/>
        </w:rPr>
        <w:t>4</w:t>
      </w:r>
      <w:r w:rsidRPr="009B068C">
        <w:rPr>
          <w:rFonts w:asciiTheme="minorHAnsi" w:hAnsiTheme="minorHAnsi" w:cstheme="minorHAnsi"/>
          <w:b/>
          <w:bCs/>
          <w:sz w:val="22"/>
          <w:szCs w:val="22"/>
        </w:rPr>
        <w:t>. CRITERIOS DE MEDICION:</w:t>
      </w:r>
    </w:p>
    <w:p w:rsidR="00A31E5F" w:rsidRPr="009B068C" w:rsidRDefault="00A31E5F" w:rsidP="00A31E5F">
      <w:pPr>
        <w:pStyle w:val="Textoindependiente2"/>
        <w:rPr>
          <w:rFonts w:asciiTheme="minorHAnsi" w:hAnsiTheme="minorHAnsi" w:cstheme="minorHAnsi"/>
          <w:sz w:val="22"/>
          <w:szCs w:val="22"/>
          <w:lang w:val="es-ES"/>
        </w:rPr>
      </w:pPr>
      <w:r w:rsidRPr="009B068C">
        <w:rPr>
          <w:rFonts w:asciiTheme="minorHAnsi" w:hAnsiTheme="minorHAnsi" w:cstheme="minorHAnsi"/>
          <w:sz w:val="22"/>
          <w:szCs w:val="22"/>
          <w:lang w:val="es-ES"/>
        </w:rPr>
        <w:t>Los correspondientes a cada rubro se indican en la nota respectiva</w:t>
      </w:r>
    </w:p>
    <w:p w:rsidR="00D0670A" w:rsidRPr="009B068C" w:rsidRDefault="00A31E5F" w:rsidP="00A31E5F">
      <w:pPr>
        <w:jc w:val="both"/>
        <w:rPr>
          <w:rFonts w:asciiTheme="minorHAnsi" w:hAnsiTheme="minorHAnsi" w:cstheme="minorHAnsi"/>
          <w:sz w:val="22"/>
          <w:szCs w:val="22"/>
        </w:rPr>
      </w:pPr>
      <w:r w:rsidRPr="009B068C">
        <w:rPr>
          <w:rFonts w:asciiTheme="minorHAnsi" w:hAnsiTheme="minorHAnsi" w:cstheme="minorHAnsi"/>
          <w:sz w:val="22"/>
          <w:szCs w:val="22"/>
        </w:rPr>
        <w:t xml:space="preserve">En todos los rubros del </w:t>
      </w:r>
      <w:r w:rsidRPr="009B068C">
        <w:rPr>
          <w:rFonts w:asciiTheme="minorHAnsi" w:hAnsiTheme="minorHAnsi" w:cstheme="minorHAnsi"/>
          <w:b/>
          <w:bCs/>
          <w:i/>
          <w:iCs/>
          <w:sz w:val="22"/>
          <w:szCs w:val="22"/>
        </w:rPr>
        <w:t>Activo</w:t>
      </w:r>
      <w:r w:rsidRPr="009B068C">
        <w:rPr>
          <w:rFonts w:asciiTheme="minorHAnsi" w:hAnsiTheme="minorHAnsi" w:cstheme="minorHAnsi"/>
          <w:sz w:val="22"/>
          <w:szCs w:val="22"/>
        </w:rPr>
        <w:t xml:space="preserve"> se efectúa la comparación con el Valor Recuperable </w:t>
      </w:r>
    </w:p>
    <w:sectPr w:rsidR="00D0670A" w:rsidRPr="009B068C" w:rsidSect="008F010A">
      <w:pgSz w:w="11907" w:h="16840"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68C"/>
    <w:rsid w:val="00021C3E"/>
    <w:rsid w:val="00064AEC"/>
    <w:rsid w:val="001E4801"/>
    <w:rsid w:val="002C09AF"/>
    <w:rsid w:val="00345F14"/>
    <w:rsid w:val="00474E39"/>
    <w:rsid w:val="004A210C"/>
    <w:rsid w:val="005D0EB5"/>
    <w:rsid w:val="00657446"/>
    <w:rsid w:val="00695996"/>
    <w:rsid w:val="00895166"/>
    <w:rsid w:val="008F010A"/>
    <w:rsid w:val="009B068C"/>
    <w:rsid w:val="00A31E5F"/>
    <w:rsid w:val="00D07B62"/>
    <w:rsid w:val="00D73484"/>
    <w:rsid w:val="00D958EC"/>
    <w:rsid w:val="00E24CF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AFB038-22D2-4450-A3CE-D5E81A4AE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068C"/>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qFormat/>
    <w:rsid w:val="009B068C"/>
    <w:pPr>
      <w:keepNext/>
      <w:jc w:val="both"/>
      <w:outlineLvl w:val="1"/>
    </w:pPr>
    <w:rPr>
      <w:rFonts w:ascii="Tahoma" w:hAnsi="Tahoma" w:cs="Tahoma"/>
      <w:b/>
      <w:bCs/>
      <w:shadow/>
      <w:color w:val="000000"/>
      <w:sz w:val="16"/>
      <w:szCs w:val="20"/>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9B068C"/>
    <w:rPr>
      <w:rFonts w:ascii="Tahoma" w:eastAsia="Times New Roman" w:hAnsi="Tahoma" w:cs="Tahoma"/>
      <w:b/>
      <w:bCs/>
      <w:shadow/>
      <w:color w:val="000000"/>
      <w:sz w:val="16"/>
      <w:szCs w:val="20"/>
      <w:lang w:eastAsia="es-ES"/>
    </w:rPr>
  </w:style>
  <w:style w:type="paragraph" w:styleId="Textoindependiente2">
    <w:name w:val="Body Text 2"/>
    <w:basedOn w:val="Normal"/>
    <w:link w:val="Textoindependiente2Car"/>
    <w:semiHidden/>
    <w:rsid w:val="009B068C"/>
    <w:pPr>
      <w:jc w:val="both"/>
    </w:pPr>
    <w:rPr>
      <w:rFonts w:ascii="Tahoma" w:hAnsi="Tahoma" w:cs="Tahoma"/>
      <w:sz w:val="16"/>
      <w:szCs w:val="20"/>
      <w:lang w:val="es-AR"/>
    </w:rPr>
  </w:style>
  <w:style w:type="character" w:customStyle="1" w:styleId="Textoindependiente2Car">
    <w:name w:val="Texto independiente 2 Car"/>
    <w:basedOn w:val="Fuentedeprrafopredeter"/>
    <w:link w:val="Textoindependiente2"/>
    <w:semiHidden/>
    <w:rsid w:val="009B068C"/>
    <w:rPr>
      <w:rFonts w:ascii="Tahoma" w:eastAsia="Times New Roman" w:hAnsi="Tahoma" w:cs="Tahoma"/>
      <w:sz w:val="16"/>
      <w:szCs w:val="20"/>
      <w:lang w:eastAsia="es-ES"/>
    </w:rPr>
  </w:style>
  <w:style w:type="paragraph" w:customStyle="1" w:styleId="yiv6236142141msonormal">
    <w:name w:val="yiv6236142141msonormal"/>
    <w:basedOn w:val="Normal"/>
    <w:rsid w:val="009B068C"/>
    <w:pPr>
      <w:spacing w:before="100" w:beforeAutospacing="1" w:after="100" w:afterAutospacing="1"/>
    </w:pPr>
    <w:rPr>
      <w:lang w:val="es-AR" w:eastAsia="es-AR"/>
    </w:rPr>
  </w:style>
  <w:style w:type="paragraph" w:styleId="Prrafodelista">
    <w:name w:val="List Paragraph"/>
    <w:basedOn w:val="Normal"/>
    <w:uiPriority w:val="34"/>
    <w:qFormat/>
    <w:rsid w:val="00D73484"/>
    <w:pPr>
      <w:ind w:left="720"/>
      <w:contextualSpacing/>
    </w:pPr>
  </w:style>
  <w:style w:type="paragraph" w:styleId="Textodeglobo">
    <w:name w:val="Balloon Text"/>
    <w:basedOn w:val="Normal"/>
    <w:link w:val="TextodegloboCar"/>
    <w:uiPriority w:val="99"/>
    <w:semiHidden/>
    <w:unhideWhenUsed/>
    <w:rsid w:val="00474E3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74E39"/>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543</Words>
  <Characters>2989</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Consejo Profesional de Ciencias Económicas</dc:creator>
  <cp:keywords/>
  <dc:description/>
  <cp:lastModifiedBy>Consejo Profesional de Ciencias Económicas</cp:lastModifiedBy>
  <cp:revision>3</cp:revision>
  <cp:lastPrinted>2019-03-06T20:22:00Z</cp:lastPrinted>
  <dcterms:created xsi:type="dcterms:W3CDTF">2019-07-23T20:51:00Z</dcterms:created>
  <dcterms:modified xsi:type="dcterms:W3CDTF">2019-09-25T12:18:00Z</dcterms:modified>
</cp:coreProperties>
</file>